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75" w:rsidRPr="006F0875" w:rsidRDefault="006F0875" w:rsidP="006F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  <w:t xml:space="preserve">Tantárgyi tematika </w:t>
      </w:r>
      <w:proofErr w:type="gramStart"/>
      <w:r w:rsidRPr="006F0875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  <w:t>és</w:t>
      </w:r>
      <w:proofErr w:type="gramEnd"/>
      <w:r w:rsidRPr="006F0875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hu-HU"/>
        </w:rPr>
        <w:t xml:space="preserve"> félévi követelményrendszer</w:t>
      </w:r>
    </w:p>
    <w:p w:rsidR="006F0875" w:rsidRPr="006F0875" w:rsidRDefault="006F0875" w:rsidP="006F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Magyarország tör</w:t>
      </w:r>
      <w:r w:rsidRPr="00C9112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ténete (1790–1918) 2.  OTR 1018</w:t>
      </w: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 (elmélet és gyakorlat)  </w:t>
      </w:r>
    </w:p>
    <w:p w:rsidR="006F0875" w:rsidRPr="006F0875" w:rsidRDefault="006F0875" w:rsidP="006F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tantárgy általános célja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: A hallgatók történelemszemléletének alakítása a történettudomány legújabb kutatási eredményeinek felhasználásával. Az előadások szolgáljanak mintául arra, hogyan kell a lényeget kiemelni, az események közötti összefüggést, az ok-okozati kapcsolatot bemutatni. A hallgatók ismerjék meg a dualizmus rendszerének működését, a korszak gazdasági és társadalmi folyamatait, az 1890-es évektől jelentkező válság fő területeit.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tantárgy tartalma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F0875" w:rsidRPr="006F0875" w:rsidRDefault="006B1DA6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hAnsi="Times New Roman" w:cs="Times New Roman"/>
          <w:sz w:val="24"/>
          <w:szCs w:val="24"/>
        </w:rPr>
        <w:t>A Habsburg Birodalom újjászervezése a magyar szabadságharc bukása után. A neoabszolutizmus fény- és árnyoldalai</w:t>
      </w:r>
      <w:r w:rsidRPr="00C91120">
        <w:rPr>
          <w:rFonts w:ascii="Times New Roman" w:hAnsi="Times New Roman" w:cs="Times New Roman"/>
          <w:sz w:val="24"/>
          <w:szCs w:val="24"/>
        </w:rPr>
        <w:t>.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magyar politikai </w:t>
      </w:r>
      <w:proofErr w:type="gram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elit</w:t>
      </w:r>
      <w:proofErr w:type="gram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Habsburg-ház közötti érdekellentétek feloldásának kísérletei az 1860-as évek elején. Az osztrák-magyar kiegyezés, a dualista </w:t>
      </w:r>
      <w:proofErr w:type="spell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államberendezkedés</w:t>
      </w:r>
      <w:proofErr w:type="spell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jellemzői. A magyar és az osztrák politikai </w:t>
      </w:r>
      <w:proofErr w:type="gram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elit</w:t>
      </w:r>
      <w:proofErr w:type="gram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viszonya a kiegyezéshez, a magyar parlamenti pártok programja, nemzetiségi kérdés, a dualizmus kori magyar kormányok nemzetiségi politikája. A magyar gazdaság fejlődése 1867-1914 között. A társadalom </w:t>
      </w:r>
      <w:proofErr w:type="spell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átstrukturálódása</w:t>
      </w:r>
      <w:proofErr w:type="spell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19. század második felében. A polgárosodás haszonélvezői és kárvallottjai (zsidó </w:t>
      </w:r>
      <w:proofErr w:type="gram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asszimiláció</w:t>
      </w:r>
      <w:proofErr w:type="gram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agrárius mozgalom, a parasztság differenciálódása, tömeges polgárosodásának akadályai – kivándorlás). A munkásság helyzete a 19-20. század fordulóján. A dualizmus válsága. Magyarország az 1. világháború idején.</w:t>
      </w:r>
    </w:p>
    <w:p w:rsidR="006F0875" w:rsidRPr="00C91120" w:rsidRDefault="006F0875" w:rsidP="006F087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>Megismeri a</w:t>
      </w:r>
      <w:r w:rsidR="00BC4760"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hallgató a</w:t>
      </w:r>
      <w:r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>kurzus</w:t>
      </w:r>
      <w:proofErr w:type="gramEnd"/>
      <w:r w:rsidRPr="00C91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témájának a NAT, a kerettantervek és az érettségi követelményekhez való illeszkedését.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előadásokon történő részvétel: 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</w:t>
      </w:r>
      <w:r w:rsidRPr="006F0875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adások a képzés szerves részét képezik, így az Intézmény a hallgatóktól elvárja a részvételt az el</w:t>
      </w:r>
      <w:r w:rsidRPr="006F0875">
        <w:rPr>
          <w:rFonts w:ascii="Times New Roman" w:eastAsia="TimesNewRoman" w:hAnsi="Times New Roman" w:cs="Times New Roman"/>
          <w:sz w:val="24"/>
          <w:szCs w:val="24"/>
          <w:lang w:eastAsia="hu-HU"/>
        </w:rPr>
        <w:t>ő</w:t>
      </w: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adásokon (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TVSz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8.§ 1.).</w:t>
      </w:r>
    </w:p>
    <w:p w:rsidR="006F0875" w:rsidRPr="006F0875" w:rsidRDefault="006F0875" w:rsidP="006F0875">
      <w:pPr>
        <w:spacing w:after="0" w:line="240" w:lineRule="auto"/>
        <w:ind w:left="709" w:hanging="69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hu-HU"/>
        </w:rPr>
        <w:t>A szemináriumokon történő részvétel: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A gyakorlati foglalkozásokon a részvétel kötelező. A félévi hiányzás megengedhető mértéke teljes idejű képzésben a tantárgy heti kontaktóraszámának háromszorosa, részidős képzésben a tantárgy </w:t>
      </w: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konzultációs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óraszámának egyharmada. Ennek túllépése esetén a félév nem értékelhető (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TVSz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8.§ 1.).</w:t>
      </w:r>
    </w:p>
    <w:p w:rsidR="006F0875" w:rsidRPr="006F0875" w:rsidRDefault="006F0875" w:rsidP="006F0875">
      <w:pPr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Félévi követelmény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: kollokvium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Az értékelés módja, ütemezése: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hu-HU"/>
        </w:rPr>
        <w:t>A vizsga típusa:</w:t>
      </w: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 szóbeli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hu-HU"/>
        </w:rPr>
        <w:t>A vizsgára bocsátás feltétele és az érdemjegy kialakításának módja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: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A vizsgára bocsátásnak 2 feltétele van: </w:t>
      </w:r>
      <w:smartTag w:uri="urn:schemas-microsoft-com:office:smarttags" w:element="metricconverter">
        <w:smartTagPr>
          <w:attr w:name="ProductID" w:val="1. a"/>
        </w:smartTagPr>
        <w:r w:rsidRPr="006F0875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hu-HU"/>
          </w:rPr>
          <w:t>1. a</w:t>
        </w:r>
      </w:smartTag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hallgatóknak egy kapott témában önálló könyvészeti kutatást kell végezniük, melynek eredményét a szemináriumon ismertetik. A referátum nem teljesítése elégtelen osztályzatot von maga után, melynek javítására a vizsgaidőszakban biztosítok lehetőséget.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6F0875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hu-HU"/>
          </w:rPr>
          <w:t>2. A</w:t>
        </w:r>
      </w:smartTag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vizsgára bocsátás másik feltétele: az elhangzott előadások és a feldolgozott szemináriumi témák anyagából </w:t>
      </w:r>
      <w:r w:rsidR="00BC4760" w:rsidRPr="00C9112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>2025. november 26-án</w:t>
      </w:r>
      <w:r w:rsidR="00BC4760" w:rsidRPr="00C91120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zárthelyi dolgozatot írnak a hallgatók. Ennek eredménye, a szemináriumi referátum osztályzata és a vizsgatétel elmondására kapott jegy átlaga adja a </w:t>
      </w: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kurzus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érdemjegyét. A sikeres érdemjegy megszerzésének feltétele, hogy egyik érdemjegy sem lehet elégtelen. Sikertelen zárthelyi dolgozat javítására a vizsgaidőszakban biztosítok lehetőséget.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C91120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A szóbeli vizsga témakörei:</w:t>
      </w:r>
    </w:p>
    <w:p w:rsidR="006F0875" w:rsidRPr="006F0875" w:rsidRDefault="00BC4760" w:rsidP="00BC4760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C91120">
        <w:rPr>
          <w:b/>
          <w:sz w:val="24"/>
          <w:szCs w:val="24"/>
        </w:rPr>
        <w:t xml:space="preserve">1. </w:t>
      </w:r>
      <w:r w:rsidRPr="00C91120">
        <w:rPr>
          <w:b/>
          <w:sz w:val="24"/>
          <w:szCs w:val="24"/>
        </w:rPr>
        <w:t>A Habsburg Birodalom újjászervezése a magyar szabadságharc bukása után. A neoabszolutizmus fény- és árnyoldalai</w:t>
      </w:r>
      <w:r w:rsidRPr="00C91120">
        <w:rPr>
          <w:b/>
          <w:sz w:val="24"/>
          <w:szCs w:val="24"/>
        </w:rPr>
        <w:t xml:space="preserve">. </w:t>
      </w:r>
      <w:proofErr w:type="gramStart"/>
      <w:r w:rsidR="006F0875" w:rsidRPr="006F0875">
        <w:rPr>
          <w:b/>
          <w:sz w:val="24"/>
          <w:szCs w:val="24"/>
        </w:rPr>
        <w:t>Az</w:t>
      </w:r>
      <w:proofErr w:type="gramEnd"/>
      <w:r w:rsidR="006F0875" w:rsidRPr="006F0875">
        <w:rPr>
          <w:b/>
          <w:sz w:val="24"/>
          <w:szCs w:val="24"/>
        </w:rPr>
        <w:t xml:space="preserve"> osztrák-magyar kiegyezéshez vezető út</w:t>
      </w:r>
    </w:p>
    <w:p w:rsidR="006F0875" w:rsidRPr="006F0875" w:rsidRDefault="006F0875" w:rsidP="006F0875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Az osztrák-magyar kiegyezés, a dualista </w:t>
      </w:r>
      <w:proofErr w:type="spell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államberendezkedés</w:t>
      </w:r>
      <w:proofErr w:type="spell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jellemzői</w:t>
      </w:r>
    </w:p>
    <w:p w:rsidR="006F0875" w:rsidRPr="006F0875" w:rsidRDefault="006F0875" w:rsidP="006F087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3.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dualizmus nyugalmi periódusának pártviszonyai</w:t>
      </w:r>
    </w:p>
    <w:p w:rsidR="006F0875" w:rsidRPr="006F0875" w:rsidRDefault="006F0875" w:rsidP="006F0875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4.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magyar gazdaság fejlődése 1867-1914 között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5.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társadalom </w:t>
      </w:r>
      <w:proofErr w:type="spell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átstrukturálódása</w:t>
      </w:r>
      <w:proofErr w:type="spell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19. század második felében. A polgárosodás haszonélvezői és kárvallottjai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Nemzetiségi kérdés a dualizmus kori Magyarországon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7.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dualizmus válságának okai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8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8.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Szapáry, a Wekerle és a Bánffy kormány tevékenysége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9. A"/>
        </w:smartTagPr>
        <w:r w:rsidRPr="006F0875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9. A</w:t>
        </w:r>
      </w:smartTag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Széll, a </w:t>
      </w:r>
      <w:proofErr w:type="spell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Khuen-Héderváry</w:t>
      </w:r>
      <w:proofErr w:type="spell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Tisza kormány tevékenysége</w:t>
      </w:r>
    </w:p>
    <w:p w:rsidR="006F0875" w:rsidRPr="00C91120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10. Az 1905-1906. évi kormányzati válság. A „nemzeti </w:t>
      </w:r>
      <w:proofErr w:type="gramStart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koalíció</w:t>
      </w:r>
      <w:proofErr w:type="gramEnd"/>
      <w:r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pártprogramjai és pártvezérei</w:t>
      </w:r>
    </w:p>
    <w:p w:rsidR="00193477" w:rsidRPr="00C91120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11. A </w:t>
      </w:r>
      <w:proofErr w:type="gramStart"/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koalíciós</w:t>
      </w:r>
      <w:proofErr w:type="gramEnd"/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Wekerle-kormány tevékenysége</w:t>
      </w:r>
    </w:p>
    <w:p w:rsidR="00193477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Magyarország politikai élete 1910-től az 1. világháborúig</w:t>
      </w:r>
    </w:p>
    <w:p w:rsidR="006F0875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Magyarország az 1. világháború idején</w:t>
      </w:r>
    </w:p>
    <w:p w:rsidR="006F0875" w:rsidRPr="006F0875" w:rsidRDefault="006F0875" w:rsidP="006F0875">
      <w:pPr>
        <w:tabs>
          <w:tab w:val="left" w:pos="3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hu-HU"/>
        </w:rPr>
        <w:tab/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C91120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Az előadások tananyaga:</w:t>
      </w:r>
    </w:p>
    <w:p w:rsidR="00193477" w:rsidRPr="006F0875" w:rsidRDefault="00193477" w:rsidP="001934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u w:val="single"/>
          <w:lang w:eastAsia="hu-HU"/>
        </w:rPr>
      </w:pPr>
      <w:r w:rsidRPr="00C91120">
        <w:rPr>
          <w:rFonts w:ascii="Times New Roman" w:hAnsi="Times New Roman" w:cs="Times New Roman"/>
          <w:sz w:val="24"/>
          <w:szCs w:val="24"/>
        </w:rPr>
        <w:t xml:space="preserve">1-2. </w:t>
      </w:r>
      <w:r w:rsidRPr="00C91120">
        <w:rPr>
          <w:rFonts w:ascii="Times New Roman" w:hAnsi="Times New Roman" w:cs="Times New Roman"/>
          <w:sz w:val="24"/>
          <w:szCs w:val="24"/>
        </w:rPr>
        <w:t>A Habsburg Birodalom újjászervezése a magyar szabadságharc bukása után. A neoabszolutizmus fény- és árnyoldalai.</w:t>
      </w:r>
    </w:p>
    <w:p w:rsidR="006F0875" w:rsidRPr="006F0875" w:rsidRDefault="00193477" w:rsidP="006F0875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Az osztrák-magyar kiegyezéshez vezető út</w:t>
      </w:r>
    </w:p>
    <w:p w:rsidR="006F0875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osztrák-magyar kiegyezés, a dualista </w:t>
      </w:r>
      <w:proofErr w:type="spell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államberendezkedés</w:t>
      </w:r>
      <w:proofErr w:type="spell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jellemzői</w:t>
      </w:r>
    </w:p>
    <w:p w:rsidR="006F0875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 dualizmus nyugalmi periódusának pártviszonyai</w:t>
      </w:r>
    </w:p>
    <w:p w:rsidR="006F0875" w:rsidRPr="006F0875" w:rsidRDefault="00193477" w:rsidP="006F0875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 dualizmus válságának okai</w:t>
      </w:r>
    </w:p>
    <w:p w:rsidR="006F0875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7-8.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 Szapáry, a Wekerle és a Bánffy kormány tevékenysége</w:t>
      </w:r>
    </w:p>
    <w:p w:rsidR="006F0875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9-10.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Széll, a </w:t>
      </w:r>
      <w:proofErr w:type="spell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Khuen-Héderváry</w:t>
      </w:r>
      <w:proofErr w:type="spell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Tisza kormány tevékenysége</w:t>
      </w:r>
    </w:p>
    <w:p w:rsidR="006F0875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11-12.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1905-1906. évi kormányzati válság. A „nemzeti </w:t>
      </w:r>
      <w:proofErr w:type="gramStart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koalíció</w:t>
      </w:r>
      <w:proofErr w:type="gramEnd"/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” pártprogramjai és pártvezérei</w:t>
      </w:r>
    </w:p>
    <w:p w:rsidR="006F0875" w:rsidRPr="006F0875" w:rsidRDefault="0019347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</w:t>
      </w:r>
      <w:r w:rsidR="006F0875"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az 1. világháború idején</w:t>
      </w:r>
    </w:p>
    <w:p w:rsidR="006F0875" w:rsidRPr="006F0875" w:rsidRDefault="006F0875" w:rsidP="006F0875">
      <w:pPr>
        <w:tabs>
          <w:tab w:val="center" w:pos="42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ab/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hu-HU"/>
        </w:rPr>
      </w:pPr>
      <w:bookmarkStart w:id="0" w:name="_GoBack"/>
      <w:bookmarkEnd w:id="0"/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C91120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eastAsia="hu-HU"/>
        </w:rPr>
        <w:t>A szemináriumok tananyaga:</w:t>
      </w:r>
    </w:p>
    <w:p w:rsidR="006B1DA6" w:rsidRPr="00C91120" w:rsidRDefault="00C31E9B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  <w:t xml:space="preserve">1. </w:t>
      </w:r>
      <w:r w:rsidR="00193477" w:rsidRPr="00C9112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  <w:t>Ferenc József koronázási ceremóniája</w:t>
      </w:r>
    </w:p>
    <w:p w:rsidR="00C31E9B" w:rsidRPr="006F0875" w:rsidRDefault="00C31E9B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hu-HU"/>
        </w:rPr>
        <w:t>Erzsébet királyné és a magyarok</w:t>
      </w:r>
    </w:p>
    <w:p w:rsidR="006F0875" w:rsidRPr="006F0875" w:rsidRDefault="006B1DA6" w:rsidP="006F0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1867. évi 12. törvénycikk–a közös ügyes törvény: 7–13., 15–21., 29</w:t>
      </w:r>
      <w:proofErr w:type="gramStart"/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proofErr w:type="gramEnd"/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58–61. §</w:t>
      </w:r>
    </w:p>
    <w:p w:rsidR="006F0875" w:rsidRPr="00C91120" w:rsidRDefault="006B1DA6" w:rsidP="006F08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Andrássy Gyula miniszterelnöksége</w:t>
      </w:r>
    </w:p>
    <w:p w:rsidR="00C31E9B" w:rsidRPr="006F0875" w:rsidRDefault="006B1DA6" w:rsidP="006F08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Eötvös József karrierútjának értékelése. Az 1868-as népiskolai törvény</w:t>
      </w:r>
    </w:p>
    <w:p w:rsidR="006F0875" w:rsidRPr="00C91120" w:rsidRDefault="006B1DA6" w:rsidP="006F0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horvát-magyar kiegyezés és az 1868. évi nemzetiségi törvény</w:t>
      </w:r>
    </w:p>
    <w:p w:rsidR="00C31E9B" w:rsidRPr="00C91120" w:rsidRDefault="006B1DA6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31E9B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 Kálmán miniszterelnöksége</w:t>
      </w:r>
    </w:p>
    <w:p w:rsidR="00C31E9B" w:rsidRPr="00C91120" w:rsidRDefault="006B1DA6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 dualizmus kori Magyarország közigazgatása</w:t>
      </w:r>
    </w:p>
    <w:p w:rsidR="006F0875" w:rsidRPr="00C91120" w:rsidRDefault="006B1DA6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társadalom </w:t>
      </w:r>
      <w:proofErr w:type="spellStart"/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átstrukturálódása</w:t>
      </w:r>
      <w:proofErr w:type="spellEnd"/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19. század második felében. A polgárosodás haszonélvezői és kárvallottjai</w:t>
      </w:r>
    </w:p>
    <w:p w:rsidR="00C31E9B" w:rsidRPr="006F0875" w:rsidRDefault="006B1DA6" w:rsidP="00C31E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 zsidóság helyzete a 19. század második felében</w:t>
      </w:r>
    </w:p>
    <w:p w:rsidR="006F0875" w:rsidRPr="006F0875" w:rsidRDefault="006B1DA6" w:rsidP="006F0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C31E9B"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magyar gazdaság fejlődése 1867-1914 között</w:t>
      </w:r>
    </w:p>
    <w:p w:rsidR="006F0875" w:rsidRPr="00C91120" w:rsidRDefault="006B1DA6" w:rsidP="006F0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11. </w:t>
      </w:r>
      <w:r w:rsidR="006F0875" w:rsidRPr="006F0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Szellemi irányzatok Magyarországon a 19. század utolsó harmadától az 1. világháborúig</w:t>
      </w:r>
    </w:p>
    <w:p w:rsidR="006B1DA6" w:rsidRPr="00C91120" w:rsidRDefault="006B1DA6" w:rsidP="006F0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 A munkásság helyzete a 19-20. század fordulóján</w:t>
      </w:r>
    </w:p>
    <w:p w:rsidR="006B1DA6" w:rsidRPr="00C91120" w:rsidRDefault="006B1DA6" w:rsidP="006F0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 Az agrárius mozgalom (Károlyi Sándor, Darányi Ignác)</w:t>
      </w:r>
    </w:p>
    <w:p w:rsidR="006B1DA6" w:rsidRPr="006F0875" w:rsidRDefault="006B1DA6" w:rsidP="006F0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14. Értékelés</w:t>
      </w:r>
    </w:p>
    <w:p w:rsidR="006F0875" w:rsidRPr="006F0875" w:rsidRDefault="006F0875" w:rsidP="006F0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Kötelező, 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ajánlott </w:t>
      </w:r>
      <w:r w:rsidRPr="006F087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  <w:t xml:space="preserve">irodalom és források:  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Polgárosodás és szabadság. (Magyarország a XIX. században).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Veliky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János. Bp., 1999.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19. századi magyar történelem 1790–1918.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Gergely András. Bp., 2005.</w:t>
      </w:r>
    </w:p>
    <w:p w:rsidR="006F0875" w:rsidRPr="006F0875" w:rsidRDefault="006F0875" w:rsidP="006F0875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Magyarország története a 19. században. Szöveggyűjtemény.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Pajkossy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Gábor.</w:t>
      </w:r>
    </w:p>
    <w:p w:rsidR="006F0875" w:rsidRPr="006F0875" w:rsidRDefault="006F0875" w:rsidP="006F0875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Szöveggyűjtemény a magyar történelem forrásaiból, 1790–1962.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.: Nagy József.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C4760" w:rsidRPr="00C91120" w:rsidRDefault="00BC4760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Deák Ágnes: Polgári átalakulás és neoabszolutizmus 1849-1867. Bp., 2009.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Katus László: A modern Magyarország születése. Magyarország története, 1711–1914.</w:t>
      </w:r>
    </w:p>
    <w:p w:rsidR="006F0875" w:rsidRPr="006F0875" w:rsidRDefault="006F0875" w:rsidP="006F0875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Fónagy Zoltán: Modernizáció és polgárosodás, 1849–1914. Debrecen, 2001.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Estók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János: Magyarország története 1849–1914. Bp., 1999.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1849–1867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Somogyi Éva: Abszolutizmus és kiegyezés 1849–1867. Bp., 1981.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Deák Ágnes: Társadalmi ellenállási stratégiák Magyarországon az abszolutista kormányzat ellen 1851–1852-ben.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1997/4.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Benedek Gábor: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Ciszlajtániai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tisztviselők a neoabszolutizmus-kori Magyarországon.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1997/4.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Pap József: Én is a passzív ellenállók egyike voltam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…!?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2000/1–2.</w:t>
      </w:r>
    </w:p>
    <w:p w:rsidR="006F0875" w:rsidRPr="006F0875" w:rsidRDefault="006F0875" w:rsidP="006F087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Pap: József: A passzív ellenállás, a neoabszolutizmus korának mítosza?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Aetas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, 2003/3–4.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Benedek Gábor: Kollektív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amnézia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honvédtiszti hivatalvállalás a Bach-korszakban. In: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Dobrossy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(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Mikrotörténelem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Vívmányok és korlátok. A Hajnal István Kör–Társadalomtörténeti Egyesület 1999. évi miskolci </w:t>
      </w:r>
      <w:proofErr w:type="gram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konferenciájának</w:t>
      </w:r>
      <w:proofErr w:type="gram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előadásai. Miskolc, 2003.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Dobszay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Tamás: A magyar alkotmányosság őre. Deák Ferenc az 1861. évi országgyűlésen. Rubicon, 2003/9–10.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Estók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János: Keskeny ösvényen. Rubicon, 2003/9–10.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1867–1914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Boros Zsuzsanna - Szabó Dániel: Parlamentarizmus Magyarországon 1867-1944. Korona Kiadó, Bp., 1999.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Mezey Barna: A dualista államkonstrukció. Hárompólusú </w:t>
      </w:r>
      <w:proofErr w:type="gram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kompromisszum</w:t>
      </w:r>
      <w:proofErr w:type="gram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Rubicon, 1996/4–5.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Gergely András: Az 1867-es kiegyezés. Rubicon, 1996/1–2.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Somogyi Éva: Ferenc József. Bp., 1989.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Somogyi Éva: Kormányzati rendszer a dualista Habsburg Monarchiában. Bp., 1996.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Somogyi Éva: Hagyomány és átalakulás. Állam és </w:t>
      </w:r>
      <w:proofErr w:type="gramStart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bürokrácia</w:t>
      </w:r>
      <w:proofErr w:type="gramEnd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dualista Habsburg Monarchiában. Bp., 2006.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A kiegyezés.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Cieger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András. Bp., 2004.</w:t>
      </w:r>
    </w:p>
    <w:p w:rsidR="006F0875" w:rsidRPr="006F0875" w:rsidRDefault="006F0875" w:rsidP="006F0875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Kozári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Monika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A dualista rendszer. Bp., 2005.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Kozári </w:t>
      </w:r>
      <w:proofErr w:type="spellStart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Monika</w:t>
      </w:r>
      <w:proofErr w:type="spellEnd"/>
      <w:r w:rsidRPr="006F08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A dualizmus kora, 1867–1914. Bp., 2012.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Magyar </w:t>
      </w:r>
      <w:proofErr w:type="gram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kódex</w:t>
      </w:r>
      <w:proofErr w:type="gram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Az Osztrák–Magyar Monarchia.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Szentpéteri József. Bp., 2001.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Kettős kötődés. Az Osztrák–Magyar Monarchia, 1867–1918.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u-HU"/>
        </w:rPr>
        <w:t>mek.oszk.hu/01900/01905/</w:t>
      </w:r>
      <w:proofErr w:type="spellStart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u-HU"/>
        </w:rPr>
        <w:t>html</w:t>
      </w:r>
      <w:proofErr w:type="spellEnd"/>
      <w:r w:rsidRPr="006F087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u-HU"/>
        </w:rPr>
        <w:t>/</w:t>
      </w:r>
    </w:p>
    <w:p w:rsidR="006F0875" w:rsidRPr="006F0875" w:rsidRDefault="006F0875" w:rsidP="006F0875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Gerő András: Dualizmusok. A Monarchia Magyarországa. Bp., 2010.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Révész T. Mihály: Andrássy Gyula útja a miniszterelnökségig.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Acta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Universitatis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Szegediensis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2010.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Csapó Csaba: A magyar királyi csendőrség története 1881-1914. Bp., 1999.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Hermann Róbert: A szép akasztott: gróf Andrássy Gyula pályafutása 1867-ig. Rubicon, 2004/12.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Ress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Imre: Andrássy Gyula a „birodalmi miniszterelnök”? Történelmi Szemle, 2007/4.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Szabó Dániel: Képviselőházi pártok a dualizmus kori Magyarországon. Rubicon, 2002/4–5.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Ferenc: A többpártrendszer kialakulása Magyarországon. Kormánypárt és ellenzék a dualizmus korában. História, 2010/5.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Ferenc: A pártstruktúra Magyarországon a dualizmus korában. Múltunk, 2008/4.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Kozári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Monika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Tisza Kálmán és kormányzati rendszere. Bp., 2003.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Estók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János: Tisza Kálmán és kora. Rubicon, 2013/2–3.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Ferenc: A két Tisza. Rubicon, 1996/10.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 Ferenc: A magyar parlamentarizmus a századfordulón. Bp., 2001.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>Pölöskei</w:t>
      </w:r>
      <w:proofErr w:type="spellEnd"/>
      <w:r w:rsidRPr="006F0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Ferenc: A Szabadelvű Párt fényei és árnyai (1875–1906). Bp., 2010.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Katus László: Nemzetek és népszaporulat. Magyarok a Kárpát-medencében.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Glatz Ferenc. 171–174.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Romsics Ignác: Nemzet és állam a modern magyar történelemben. Rubicon, 2001/8–9.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Szász Zoltán: Politikai élet és nemzetiségi kérdés a dualizmus korában (1867–1918). In: 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Köpeczi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Béla (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főszerk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.): Erdély története III. Bp., 1988.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Szendrei Ákos: A Román Nemzeti Párt választási szereplése és tevékenysége, 1905–1910. Múltunk, 2006/2.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Szabó Viktor: A szlovákkérdés a dualizmus kori magyarországi kormányok politikájában. Sic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Itur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Astra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2006/3–4.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Zilizi Zoltán: A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Lex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Apponyi végrehajtása a Liptó megyei evangélikus elemi népiskolákban. Sic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Itur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Astra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2006/3–4.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Magyarország története, 1848–1890.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Kovács Endre–Katus László. Bp., 1987. 1258–1265.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Fehér György: Darányi Ignác. In: Sokszínű kapitalizmus.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Sebők Marcell. 22–42.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Csík Tibor: Károlyi Sándor. In: Sokszínű kapitalizmus.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Sebők Marcell. 110–132.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Gonda László: A zsidóság Magyarországon, 1526–1945. Bp., 1992. 147–183.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Hanák Péter: A másokról alkotott kép. In: A Kert és a Műhely. Bp., 1988. 101–111.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Fenyves Katalin: Képzelt </w:t>
      </w:r>
      <w:proofErr w:type="gram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asszimiláció</w:t>
      </w:r>
      <w:proofErr w:type="gram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? Négy zsidó értelmiségi nemzedék önképe. Bp., 2010.</w:t>
      </w:r>
    </w:p>
    <w:p w:rsidR="006F0875" w:rsidRPr="006F0875" w:rsidRDefault="006F0875" w:rsidP="006F0875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Galántai József: A Habsburg-monarchia alkonya. Bp., 1985.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Galántai József: Magyarország az első világháborúban. Bp., 2001.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>Gerő András: Az elsöprő kisebbség. Bp., 1988.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Gratz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Gusztáv: A dualizmus kora. I-II. Bp., 1992.</w:t>
      </w:r>
      <w:r w:rsidRPr="006F0875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 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Hanák Péter: Az 1905–1906. évi politikai válság. In: Magyarország története, 1890–1918. </w:t>
      </w: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Főszerk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Hanák Péter. Bp., 1978. 557–609.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lastRenderedPageBreak/>
        <w:t>Zsoldos Ildikó: Az 1905-1906-os „nemzeti ellenállás” Szatmár vármegyében. A szatmári törvényhatóság a Fejérváry–kormány ellen. In: Magyari Márta (</w:t>
      </w:r>
      <w:proofErr w:type="spell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szerk</w:t>
      </w:r>
      <w:proofErr w:type="spell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.): A debreceni Déri Múzeum Évkönyve 2011/2012. Debrecen, 2012. 169-177.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Zsoldos Ildikó: Hatalom és pártstruktúra a századelő Szabolcsában. Nyíregyháza, 2009.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Vermes Gábor: Tisza István. Bp., 2001.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Zsoldos Ildikó: Hatalmi törekvések és politikai platformok Szatmárban az 1905–1906-os kormányzati </w:t>
      </w: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krízis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idején</w:t>
      </w:r>
      <w:r w:rsidRPr="006F0875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hu-HU"/>
        </w:rPr>
        <w:t>.</w:t>
      </w: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 xml:space="preserve"> Erdélyi Tudományos Füzetek 288. Erdélyi Múzeum-Egyesület, Kolozsvár, 2018.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Bertényi</w:t>
      </w:r>
      <w:proofErr w:type="spellEnd"/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Iván, ifj.: A századelő politikai irányzatai és Tisza István. Rubicon, 2009/1–2.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Vermes Gábor: Tisza István világnézete. Történelmi Szemle, 2001/3–4.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Vermes Gábor: Tisza István. Rubicon, 1999/8.</w:t>
      </w:r>
    </w:p>
    <w:p w:rsidR="006F0875" w:rsidRPr="006F0875" w:rsidRDefault="006F0875" w:rsidP="006F087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9F5D57" w:rsidRPr="009F5D57" w:rsidRDefault="009F5D57" w:rsidP="009F5D57">
      <w:pPr>
        <w:spacing w:after="0" w:line="240" w:lineRule="auto"/>
        <w:rPr>
          <w:rFonts w:ascii="Times New Roman" w:eastAsia="Times New Roman" w:hAnsi="Times New Roman" w:cs="Times New Roman"/>
          <w:color w:val="BF0041"/>
          <w:sz w:val="24"/>
          <w:szCs w:val="24"/>
          <w:lang w:eastAsia="hu-HU"/>
        </w:rPr>
      </w:pPr>
      <w:r w:rsidRPr="009F5D57">
        <w:rPr>
          <w:rFonts w:ascii="Times New Roman" w:eastAsia="Times New Roman" w:hAnsi="Times New Roman" w:cs="Times New Roman"/>
          <w:b/>
          <w:bCs/>
          <w:color w:val="BF0041"/>
          <w:spacing w:val="-6"/>
          <w:sz w:val="24"/>
          <w:szCs w:val="24"/>
          <w:lang w:eastAsia="hu-HU"/>
        </w:rPr>
        <w:t xml:space="preserve">Letölthető </w:t>
      </w:r>
      <w:proofErr w:type="gramStart"/>
      <w:r w:rsidRPr="009F5D57">
        <w:rPr>
          <w:rFonts w:ascii="Times New Roman" w:eastAsia="Times New Roman" w:hAnsi="Times New Roman" w:cs="Times New Roman"/>
          <w:b/>
          <w:bCs/>
          <w:color w:val="BF0041"/>
          <w:spacing w:val="-6"/>
          <w:sz w:val="24"/>
          <w:szCs w:val="24"/>
          <w:lang w:eastAsia="hu-HU"/>
        </w:rPr>
        <w:t>dokumentumok</w:t>
      </w:r>
      <w:proofErr w:type="gramEnd"/>
    </w:p>
    <w:p w:rsidR="009F5D57" w:rsidRPr="009F5D57" w:rsidRDefault="009F5D57" w:rsidP="009F5D5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9F5D57">
        <w:rPr>
          <w:rFonts w:ascii="Times New Roman" w:eastAsia="Times New Roman" w:hAnsi="Times New Roman" w:cs="Times New Roman"/>
          <w:color w:val="BF0041"/>
          <w:spacing w:val="-6"/>
          <w:sz w:val="24"/>
          <w:szCs w:val="24"/>
          <w:lang w:eastAsia="hu-HU"/>
        </w:rPr>
        <w:t xml:space="preserve">Nemzeti Alaptanterv: </w:t>
      </w:r>
      <w:hyperlink r:id="rId4" w:history="1">
        <w:r w:rsidRPr="00C91120">
          <w:rPr>
            <w:rFonts w:ascii="Times New Roman" w:eastAsia="Times New Roman" w:hAnsi="Times New Roman" w:cs="Times New Roman"/>
            <w:color w:val="BF0041"/>
            <w:spacing w:val="-6"/>
            <w:sz w:val="24"/>
            <w:szCs w:val="24"/>
            <w:u w:val="single"/>
            <w:lang w:eastAsia="hu-HU"/>
          </w:rPr>
          <w:t>https://magyarkozlony.hu/dokumentumok/3288b6548a740b9c8daf918a399a0bed1985db0f/megtekintes</w:t>
        </w:r>
      </w:hyperlink>
      <w:r w:rsidRPr="00C91120">
        <w:rPr>
          <w:rFonts w:ascii="Times New Roman" w:eastAsia="Times New Roman" w:hAnsi="Times New Roman" w:cs="Times New Roman"/>
          <w:color w:val="BF0041"/>
          <w:spacing w:val="-6"/>
          <w:sz w:val="24"/>
          <w:szCs w:val="24"/>
          <w:u w:val="single"/>
          <w:lang w:eastAsia="hu-HU"/>
        </w:rPr>
        <w:t xml:space="preserve"> </w:t>
      </w:r>
      <w:r w:rsidRPr="009F5D57">
        <w:rPr>
          <w:rFonts w:ascii="Times New Roman" w:eastAsia="Times New Roman" w:hAnsi="Times New Roman" w:cs="Times New Roman"/>
          <w:color w:val="BF0041"/>
          <w:spacing w:val="-6"/>
          <w:sz w:val="24"/>
          <w:szCs w:val="24"/>
          <w:lang w:eastAsia="hu-HU"/>
        </w:rPr>
        <w:t>(A Magyar Közlöny 2020. január 31-I (17.) száma; 5/2020. (I. 31.) Korm. rendelet)</w:t>
      </w:r>
    </w:p>
    <w:p w:rsidR="009F5D57" w:rsidRPr="009F5D57" w:rsidRDefault="009F5D57" w:rsidP="009F5D5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9F5D57"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lang w:eastAsia="hu-HU"/>
        </w:rPr>
        <w:t xml:space="preserve">Történelem kerettantervek: </w:t>
      </w:r>
      <w:hyperlink r:id="rId5" w:history="1">
        <w:r w:rsidRPr="00C91120">
          <w:rPr>
            <w:rFonts w:ascii="Times New Roman" w:eastAsia="Times New Roman" w:hAnsi="Times New Roman" w:cs="Times New Roman"/>
            <w:iCs/>
            <w:color w:val="BF0041"/>
            <w:spacing w:val="-6"/>
            <w:sz w:val="24"/>
            <w:szCs w:val="24"/>
            <w:u w:val="single"/>
            <w:lang w:eastAsia="hu-HU"/>
          </w:rPr>
          <w:t>https://www.oktatas.hu/kozneveles/kerettantervek/2020_nat</w:t>
        </w:r>
      </w:hyperlink>
    </w:p>
    <w:p w:rsidR="009F5D57" w:rsidRPr="00C91120" w:rsidRDefault="009F5D57" w:rsidP="009F5D5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</w:pPr>
      <w:r w:rsidRPr="00C91120"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  <w:t>Hatályos érettségi és vizsgakövetelmények:</w:t>
      </w:r>
    </w:p>
    <w:p w:rsidR="009F5D57" w:rsidRPr="009F5D57" w:rsidRDefault="009F5D57" w:rsidP="009F5D5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</w:pPr>
      <w:r w:rsidRPr="00C91120">
        <w:rPr>
          <w:rFonts w:ascii="Times New Roman" w:eastAsia="Times New Roman" w:hAnsi="Times New Roman" w:cs="Times New Roman"/>
          <w:iCs/>
          <w:color w:val="BF0041"/>
          <w:spacing w:val="-6"/>
          <w:sz w:val="24"/>
          <w:szCs w:val="24"/>
          <w:u w:val="single"/>
          <w:lang w:eastAsia="hu-HU"/>
        </w:rPr>
        <w:t>https://www.oktatas.hu/pub_bin/dload/kozoktatas/erettsegi/vizsgakovetelmenyek2024/tortenelem_2024_e.pdf</w:t>
      </w:r>
    </w:p>
    <w:p w:rsidR="006F0875" w:rsidRPr="006F0875" w:rsidRDefault="006F0875" w:rsidP="006F0875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9F5D57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C91120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Nyíregyháza, 2025</w:t>
      </w:r>
      <w:r w:rsidR="006F0875"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. szeptember 1.</w:t>
      </w: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Dr. habil. Zsoldos Ildikó</w:t>
      </w:r>
    </w:p>
    <w:p w:rsidR="006F0875" w:rsidRPr="006F0875" w:rsidRDefault="006F0875" w:rsidP="006F087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  <w:proofErr w:type="gramStart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intézetigazgató</w:t>
      </w:r>
      <w:proofErr w:type="gramEnd"/>
      <w:r w:rsidRPr="006F0875"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  <w:t>, főiskolai tanár</w:t>
      </w: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6F0875" w:rsidRPr="006F0875" w:rsidRDefault="006F0875" w:rsidP="006F0875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hu-HU"/>
        </w:rPr>
      </w:pPr>
    </w:p>
    <w:p w:rsidR="0036482E" w:rsidRPr="00C91120" w:rsidRDefault="0036482E">
      <w:pPr>
        <w:rPr>
          <w:rFonts w:ascii="Times New Roman" w:hAnsi="Times New Roman" w:cs="Times New Roman"/>
          <w:sz w:val="24"/>
          <w:szCs w:val="24"/>
        </w:rPr>
      </w:pPr>
    </w:p>
    <w:sectPr w:rsidR="0036482E" w:rsidRPr="00C91120" w:rsidSect="00BF15F0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75"/>
    <w:rsid w:val="00193477"/>
    <w:rsid w:val="0036482E"/>
    <w:rsid w:val="006B1DA6"/>
    <w:rsid w:val="006F0875"/>
    <w:rsid w:val="009F5D57"/>
    <w:rsid w:val="00BC4760"/>
    <w:rsid w:val="00C31E9B"/>
    <w:rsid w:val="00C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B4D037"/>
  <w15:chartTrackingRefBased/>
  <w15:docId w15:val="{98503CB8-E913-441A-B163-3E34DFF6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BC476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31E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kerettantervek/2020_nat" TargetMode="External"/><Relationship Id="rId4" Type="http://schemas.openxmlformats.org/officeDocument/2006/relationships/hyperlink" Target="https://magyarkozlony.hu/dokumentumok/3288b6548a740b9c8daf918a399a0bed1985db0f/megtekint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1485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habil Zsoldos Ildikó PhD</dc:creator>
  <cp:keywords/>
  <dc:description/>
  <cp:lastModifiedBy>Dr. habil Zsoldos Ildikó PhD</cp:lastModifiedBy>
  <cp:revision>1</cp:revision>
  <cp:lastPrinted>2025-09-08T16:24:00Z</cp:lastPrinted>
  <dcterms:created xsi:type="dcterms:W3CDTF">2025-09-08T10:50:00Z</dcterms:created>
  <dcterms:modified xsi:type="dcterms:W3CDTF">2025-09-08T16:31:00Z</dcterms:modified>
</cp:coreProperties>
</file>