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rPr>
          <w:color w:val="auto"/>
        </w:rPr>
      </w:pPr>
      <w:r>
        <w:rPr>
          <w:color w:val="auto"/>
        </w:rPr>
        <w:t>OTR8001 Szakmódszertan 1</w:t>
      </w:r>
    </w:p>
    <w:p>
      <w:pPr>
        <w:pStyle w:val="Normal"/>
        <w:rPr/>
      </w:pPr>
      <w:r>
        <w:rPr/>
      </w:r>
    </w:p>
    <w:p>
      <w:pPr>
        <w:pStyle w:val="Subtitle"/>
        <w:rPr>
          <w:color w:val="auto"/>
        </w:rPr>
      </w:pPr>
      <w:r>
        <w:rPr>
          <w:color w:val="auto"/>
        </w:rPr>
        <w:t>Tantárgyi tematika és félévi követelményrendszer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kurzus teljesítésével a hallgató ismeri a történelem tantárgy tanításának céljait, a társadalomban betöltött szerepét a múltban és a jelenben. Ismeri a történelem tantárgy által közvetített fogalmak kialakulásának életkori sajátosságait, a tanulók fogalomrendszerének fejlesztésében játszott szerepét. Ismeri a szaktárgy tanítása-tanulása során fejlesztendő speciális, az önálló történelmi megismeréshez szükséges kompetenciákat.  Ismeri a történelem és állampolgári ismeretek tanításának korszerű munkaformáit és eszközeit, az infokommunikációs technológia felhasználásának lehetőségeit.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Képes eligazodni a tananyagkiválasztás és -rendszerezés szakmódszertani szempontjaiban, logikájában, módszereiben. Képes figyelembe venni a tanulók, évfolyamok életkori sajátosságaiból eredő (általános iskolai és középiskolai) didaktikai eltéréseket és különbségeket. Képes a különböző adottságokkal, képességekkel, illetve előzetes tudással rendelkező tanulók tanulásának, fejlesztésének megfelelő módszerek megválasztására és használatára. Képes a tehetséges, a nehézségekkel küzdő vagy a sajátos nevelési igényű, a hátrányos és halmozottan hátrányos helyzetű, valamint a tantárgyában különleges bánásmódot igénylő tanulókat felismerni, hatékonyan nevelni, oktatni, számukra differenciált bánásmódot nyújtani. Tisztában van a történelem tantárgynak a tanulók személyiségfejlődésében betöltött szerepével.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Elkötelezett a tanulóknak a történelem és állampolgári ismeretek tantárgy tanítása során megvalósuló személyiségfejlesztése iránt. Célul tűzi ki az ismereteken alapuló, mérlegelő gondolkodás képességének kialakítását a tanulókban. Fontosnak tartja az etnikumok és nemzetiségek, vallási közösségek iránti tolerancia kialakítását. Felismeri és elfogadja a demokrácia értékeit, az aktív állampolgárság jelentőségét. Törekszik történeti tudásának folyamatos fejlesztésére. Törekszik az életkori, egyéni- és csoport-sajátosságoknak megfelelő, aktivitást, interaktivitást, differenciálást elősegítő történelemtanulási és történelemtanítási stratégiák, módszerek alkalmazására.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hanging="699" w:left="70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rcsosvilgos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8494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kurzus tematikájának megbeszélése; féléves tennivalók, feladatok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2.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történelemtanítás, -tanulás és a kompetenciák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3.</w:t>
            </w:r>
          </w:p>
        </w:tc>
        <w:tc>
          <w:tcPr>
            <w:tcW w:w="849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történelemtanítás története (Berend 1980; Katona 2000, Katona-Sallai 2002 vonatkozó fejezetei)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4.</w:t>
            </w:r>
          </w:p>
        </w:tc>
        <w:tc>
          <w:tcPr>
            <w:tcW w:w="84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5.</w:t>
            </w:r>
          </w:p>
        </w:tc>
        <w:tc>
          <w:tcPr>
            <w:tcW w:w="849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 elmélete (Gyurgyák-Kisantal 2006: választott szerző referálása)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6.</w:t>
            </w:r>
          </w:p>
        </w:tc>
        <w:tc>
          <w:tcPr>
            <w:tcW w:w="84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7.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Módszerek I. Kérdés- vagy problémaalapú tanulás, tanítás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8.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Módszerek II. Fordított osztályterem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9.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Módszerek III. Gamifikáció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10.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Cs/>
                <w:kern w:val="0"/>
                <w:sz w:val="24"/>
                <w:lang w:val="hu-HU" w:bidi="ar-SA"/>
              </w:rPr>
              <w:t xml:space="preserve">Kérdés- vagy problémaalapú tanulás, tanítás. </w:t>
            </w:r>
            <w:r>
              <w:rPr>
                <w:bCs/>
                <w:i/>
                <w:iCs/>
                <w:kern w:val="0"/>
                <w:sz w:val="24"/>
                <w:lang w:val="hu-HU" w:bidi="ar-SA"/>
              </w:rPr>
              <w:t>Óratervek bemutatása, hallgatói reflexiók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11.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bCs/>
                <w:kern w:val="0"/>
                <w:sz w:val="24"/>
                <w:lang w:val="hu-HU" w:bidi="ar-SA"/>
              </w:rPr>
              <w:t xml:space="preserve">Fordított osztályterem. </w:t>
            </w:r>
            <w:r>
              <w:rPr>
                <w:bCs/>
                <w:i/>
                <w:iCs/>
                <w:kern w:val="0"/>
                <w:sz w:val="24"/>
                <w:lang w:val="hu-HU" w:bidi="ar-SA"/>
              </w:rPr>
              <w:t>Óratervek bemutatása, hallgatói reflexiók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12.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bCs/>
                <w:kern w:val="0"/>
                <w:sz w:val="24"/>
                <w:lang w:val="hu-HU" w:bidi="ar-SA"/>
              </w:rPr>
              <w:t xml:space="preserve">Gamifikáció. </w:t>
            </w:r>
            <w:r>
              <w:rPr>
                <w:bCs/>
                <w:i/>
                <w:iCs/>
                <w:kern w:val="0"/>
                <w:sz w:val="24"/>
                <w:lang w:val="hu-HU" w:bidi="ar-SA"/>
              </w:rPr>
              <w:t>Óratervek bemutatása, hallgatói reflexiók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13.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történelemtanítás kognitív eredményei (Csapó 2002; Gyáni 2000; Jakab 2004; Knausz 2004)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14.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A kurzus zárása; tanulságok, eredmények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ind w:hanging="699" w:left="709"/>
        <w:rPr/>
      </w:pPr>
      <w:r>
        <w:rPr>
          <w:b/>
          <w:bCs/>
        </w:rPr>
        <w:t xml:space="preserve">A foglalkozásokon történő részvétel </w:t>
      </w:r>
      <w:r>
        <w:rPr/>
        <w:t>tekintetében a Tanulmányi és Vizsgaszabályzat (TVSz) az irányadó.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Félévi követelmény: gyakorlati jegy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</w:rPr>
      </w:pPr>
      <w:r>
        <w:rPr>
          <w:b/>
        </w:rPr>
        <w:t xml:space="preserve">Az értékelés módja, ütemezése: </w:t>
      </w:r>
      <w:r>
        <w:rPr>
          <w:iCs/>
        </w:rPr>
        <w:t>Megadott sablon szerint a kurzus tematikájához illeszkedő felépítésű óra- vagy foglalkozásterv elkészítése és csoport előtti bemutatása, megvitatása.</w:t>
      </w:r>
    </w:p>
    <w:p>
      <w:pPr>
        <w:pStyle w:val="Normal"/>
        <w:jc w:val="both"/>
        <w:rPr>
          <w:bCs/>
        </w:rPr>
      </w:pPr>
      <w:r>
        <w:rPr>
          <w:b/>
        </w:rPr>
        <w:t xml:space="preserve">A gyakorlati jegy megszerzésének feltétele: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Aktív órai részvétel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Határidőre elkészített feladatok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Az elkészített feladatok ötletessége, a kivitelezés alapossága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Irodalomjegyzék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/>
      </w:pPr>
      <w:r>
        <w:rPr/>
        <w:t>Berend T. Iván: A történettudomány társadalmi hasznossága. In: Uő: Napjaink – a történelemben. Magvető Kiadó, Budapest, 1980.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/>
      </w:pPr>
      <w:r>
        <w:rPr/>
        <w:t>Csapó Benő: Az iskolai műveltség. Bp. Osiris 2002. 11-36.o.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/>
      </w:pPr>
      <w:r>
        <w:rPr/>
        <w:t>F. Dárdai Ágnes: Történelmi megismerés – történelmi gondolkodás I-II. Budapest, 2006.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F. Dárdai Ágnes: A problémaorientált történelemtanítás koncepciója. Új Pedagógiai Szemle 57, 2007/11. 49-59.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/>
      </w:pPr>
      <w:r>
        <w:rPr/>
        <w:t>Gyáni Gábor: Történetírás: a nemzeti emlékezet tudománya? In: Uő: Emlékezés, emlékezet és a történelem elbeszélése. Napvilág Kiadó, Budapest, 2000.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/>
      </w:pPr>
      <w:r>
        <w:rPr/>
        <w:t>Gyurgyák János – Kisantal Tamás (szerk.): Történelemelmélet I-II. Bp. Osiris 2006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/>
      </w:pPr>
      <w:r>
        <w:rPr/>
        <w:t>Jakab György: Kalandozás a történelemtanítás kánonja körül. Élet és Irodalom, 2004. 22. sz.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Kaposi József: Széljegyzetek a történelemtanítás gyakorlatának alakulásáról. Új Pedagógiai Szemle 60, 2010/3-4. 69-92.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/>
      </w:pPr>
      <w:r>
        <w:rPr/>
        <w:t>Katona András (szerk.): A történelemtanítás gyakorlata. Budapest, 2000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>
          <w:lang w:val="de-DE"/>
        </w:rPr>
      </w:pPr>
      <w:r>
        <w:rPr/>
        <w:t xml:space="preserve">Katona András – Sallai József: A történelemtanítás elmélete. </w:t>
      </w:r>
      <w:r>
        <w:rPr>
          <w:lang w:val="de-DE"/>
        </w:rPr>
        <w:t>Budapest, 2002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Kovács István – Kovács Istvánné – Óbis Hajnalka: A változó történelemoktatás. Debreceni Egyetemi Kiadó, 2015.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>
          <w:lang w:val="de-DE"/>
        </w:rPr>
      </w:pPr>
      <w:r>
        <w:rPr>
          <w:lang w:val="de-DE"/>
        </w:rPr>
        <w:t>Knausz Imre: Tudjuk, de nem tesszük. Töprengés a történelemtanításról. In: Uő: Történelem és oktatás. FPI, Budapest, 1998, 173–185. 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jc w:val="both"/>
        <w:rPr>
          <w:lang w:val="de-DE"/>
        </w:rPr>
      </w:pPr>
      <w:r>
        <w:rPr>
          <w:lang w:val="de-DE"/>
        </w:rPr>
        <w:t>Knausz Imre (szerk.): Az évszámokon innen és túl... Megújuló történelemtanítás. Műszaki Könyvkiadó, Budapest, 2001.</w:t>
      </w:r>
    </w:p>
    <w:p>
      <w:pPr>
        <w:pStyle w:val="ListParagraph"/>
        <w:numPr>
          <w:ilvl w:val="0"/>
          <w:numId w:val="2"/>
        </w:numPr>
        <w:rPr>
          <w:b/>
          <w:bCs/>
          <w:iCs/>
        </w:rPr>
      </w:pPr>
      <w:r>
        <w:rPr>
          <w:lang w:val="de-DE"/>
        </w:rPr>
        <w:t>Knausz Imre: A történelmi műveltségről. In: Donáth Péter, Farkas Mária (szerk.): Filozófia – művelődés – történet 2004. Budapest, 2004, Trezor Kiadó, 213–230. o.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Tölgyessy Zsuzsanna: Élményközpontú történelemtanítás. Taní-tani Online. A szabad pedagógiai gondolkodás fóruma (</w:t>
      </w:r>
      <w:hyperlink r:id="rId2">
        <w:r>
          <w:rPr>
            <w:rStyle w:val="Hyperlink"/>
            <w:rFonts w:eastAsia="ＭＳ ゴシック" w:eastAsiaTheme="majorEastAsia"/>
            <w:color w:val="auto"/>
          </w:rPr>
          <w:t>http://www.tani-tani.info/101_tolgyessy</w:t>
        </w:r>
      </w:hyperlink>
      <w:r>
        <w:rPr>
          <w:rStyle w:val="Hyperlink"/>
          <w:rFonts w:eastAsia="ＭＳ ゴシック" w:eastAsiaTheme="majorEastAsia"/>
          <w:color w:val="auto"/>
        </w:rPr>
        <w:t xml:space="preserve">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Történelemtanítás. Online didaktikai folyóirat: </w:t>
      </w:r>
      <w:hyperlink r:id="rId3">
        <w:r>
          <w:rPr>
            <w:rStyle w:val="Hyperlink"/>
            <w:rFonts w:eastAsia="ＭＳ ゴシック" w:eastAsiaTheme="majorEastAsia"/>
            <w:color w:val="auto"/>
          </w:rPr>
          <w:t>http://www.folyoirat.tortenelemtanitas.hu/</w:t>
        </w:r>
      </w:hyperlink>
      <w:r>
        <w:rPr>
          <w:rStyle w:val="Hyperlink"/>
          <w:rFonts w:eastAsia="ＭＳ ゴシック" w:eastAsiaTheme="majorEastAsia"/>
          <w:color w:val="auto"/>
        </w:rPr>
        <w:t xml:space="preserve"> </w:t>
      </w:r>
      <w:r>
        <w:rPr/>
        <w:t xml:space="preserve">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V. Molnár László: Történelemmetodikai műhelytanulmányok. Bp., Tárogató, 1996.</w:t>
      </w:r>
    </w:p>
    <w:p>
      <w:pPr>
        <w:pStyle w:val="Normal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Dr. Buhály Attila</w:t>
      </w:r>
    </w:p>
    <w:p>
      <w:pPr>
        <w:pStyle w:val="Normal"/>
        <w:rPr/>
      </w:pPr>
      <w:r>
        <w:rPr/>
        <w:t>Nyíregyháza, 202</w:t>
      </w:r>
      <w:r>
        <w:rPr/>
        <w:t>5. február 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swiss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cstheme="minorHAnsi" w:eastAsiaTheme="minorHAnsi"/>
        <w:sz w:val="24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f97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hu-HU" w:val="hu-HU" w:bidi="ar-SA"/>
    </w:rPr>
  </w:style>
  <w:style w:type="paragraph" w:styleId="Heading1">
    <w:name w:val="heading 1"/>
    <w:basedOn w:val="Normal"/>
    <w:next w:val="Normal"/>
    <w:link w:val="Cmsor1Char"/>
    <w:uiPriority w:val="9"/>
    <w:qFormat/>
    <w:rsid w:val="00561434"/>
    <w:pPr>
      <w:keepNext w:val="true"/>
      <w:keepLines/>
      <w:spacing w:before="240" w:after="0"/>
      <w:outlineLvl w:val="0"/>
    </w:pPr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9f1124"/>
    <w:rPr>
      <w:sz w:val="16"/>
      <w:szCs w:val="16"/>
    </w:rPr>
  </w:style>
  <w:style w:type="character" w:styleId="JegyzetszvegChar" w:customStyle="1">
    <w:name w:val="Jegyzetszöveg Char"/>
    <w:basedOn w:val="DefaultParagraphFont"/>
    <w:uiPriority w:val="99"/>
    <w:semiHidden/>
    <w:qFormat/>
    <w:rsid w:val="009f1124"/>
    <w:rPr>
      <w:rFonts w:eastAsia="Times New Roman" w:cs="Times New Roman"/>
      <w:sz w:val="20"/>
      <w:szCs w:val="20"/>
      <w:lang w:eastAsia="hu-HU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9f1124"/>
    <w:rPr>
      <w:rFonts w:eastAsia="Times New Roman" w:cs="Times New Roman"/>
      <w:b/>
      <w:bCs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9f1124"/>
    <w:rPr>
      <w:rFonts w:ascii="Segoe UI" w:hAnsi="Segoe UI" w:eastAsia="Times New Roman" w:cs="Segoe UI"/>
      <w:sz w:val="18"/>
      <w:szCs w:val="18"/>
      <w:lang w:eastAsia="hu-HU"/>
    </w:rPr>
  </w:style>
  <w:style w:type="character" w:styleId="Cmsor1Char" w:customStyle="1">
    <w:name w:val="Címsor 1 Char"/>
    <w:basedOn w:val="DefaultParagraphFont"/>
    <w:uiPriority w:val="9"/>
    <w:qFormat/>
    <w:rsid w:val="00561434"/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  <w:lang w:eastAsia="hu-HU"/>
    </w:rPr>
  </w:style>
  <w:style w:type="character" w:styleId="AlcmChar" w:customStyle="1">
    <w:name w:val="Alcím Char"/>
    <w:basedOn w:val="DefaultParagraphFont"/>
    <w:uiPriority w:val="11"/>
    <w:qFormat/>
    <w:rsid w:val="00b3506b"/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lang w:eastAsia="hu-HU"/>
    </w:rPr>
  </w:style>
  <w:style w:type="character" w:styleId="Hyperlink">
    <w:name w:val="Hyperlink"/>
    <w:basedOn w:val="DefaultParagraphFont"/>
    <w:uiPriority w:val="99"/>
    <w:unhideWhenUsed/>
    <w:rsid w:val="00aa73a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555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47242"/>
    <w:rPr>
      <w:color w:themeColor="followedHyperlink" w:val="954F72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2c2f9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JegyzetszvegChar"/>
    <w:uiPriority w:val="99"/>
    <w:semiHidden/>
    <w:unhideWhenUsed/>
    <w:rsid w:val="009f1124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uiPriority w:val="99"/>
    <w:semiHidden/>
    <w:unhideWhenUsed/>
    <w:qFormat/>
    <w:rsid w:val="009f1124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f1124"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AlcmChar"/>
    <w:uiPriority w:val="11"/>
    <w:qFormat/>
    <w:rsid w:val="00b3506b"/>
    <w:pPr>
      <w:spacing w:before="0" w:after="160"/>
    </w:pPr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cc50a7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ani-tani.info/101_tolgyessy" TargetMode="External"/><Relationship Id="rId3" Type="http://schemas.openxmlformats.org/officeDocument/2006/relationships/hyperlink" Target="http://www.folyoirat.tortenelemtanitas.h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LibreOffice/24.8.4.2$Linux_X86_64 LibreOffice_project/480$Build-2</Application>
  <AppVersion>15.0000</AppVersion>
  <Pages>2</Pages>
  <Words>624</Words>
  <Characters>4723</Characters>
  <CharactersWithSpaces>5279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2024-02-05T07:51:00Z</dcterms:created>
  <dc:creator>acsi</dc:creator>
  <dc:description/>
  <dc:language>hu-HU</dc:language>
  <cp:lastModifiedBy>Buhály Attila</cp:lastModifiedBy>
  <dcterms:modified xsi:type="dcterms:W3CDTF">2025-02-05T14:30:17Z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