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rPr>
          <w:color w:val="auto"/>
        </w:rPr>
      </w:pPr>
      <w:r>
        <w:rPr>
          <w:color w:val="auto"/>
        </w:rPr>
        <w:t>OTR8003 Szakmódszertan 3</w:t>
      </w:r>
    </w:p>
    <w:p>
      <w:pPr>
        <w:pStyle w:val="Normal"/>
        <w:rPr/>
      </w:pPr>
      <w:r>
        <w:rPr/>
      </w:r>
    </w:p>
    <w:p>
      <w:pPr>
        <w:pStyle w:val="Subtitle"/>
        <w:rPr>
          <w:color w:val="auto"/>
        </w:rPr>
      </w:pPr>
      <w:r>
        <w:rPr>
          <w:color w:val="auto"/>
        </w:rPr>
        <w:t>Tantárgyi tematika és félévi követelményrendszer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both"/>
        <w:rPr>
          <w:bCs/>
        </w:rPr>
      </w:pPr>
      <w:r>
        <w:rPr>
          <w:bCs/>
        </w:rPr>
        <w:t>A kurzus teljesítésével a hallgató ismeri a korszerű, változó történelemtanítás kiemelt területeit és a középszintű érettségi követelményeket meghatározó tartalmi elemeket és kompetenciákat. Ismeri a szaktárgy tanítása-tanulása során fejlesztendő speciális, az önálló történelmi megismeréshez szükséges kompetenciák fejlesztésének és diagnosztikus mérésének módszereit.</w:t>
      </w:r>
    </w:p>
    <w:p>
      <w:pPr>
        <w:pStyle w:val="Normal"/>
        <w:jc w:val="both"/>
        <w:rPr>
          <w:bCs/>
        </w:rPr>
      </w:pPr>
      <w:r>
        <w:rPr>
          <w:bCs/>
        </w:rPr>
        <w:t>Képes középszintű történelem érettségi gyakorlófeladatok összeállítására, javítására, értékelésére és birtokában van a középszintű érettségi vizsgára való felkészítés gyakorlati tudnivalóinak. Képes az értékelés során figyelembe venni az értékelés hatásait a pedagógiai folyamat szabályozására, a tanulók személyiségfejlődésére és önértékelésére. Képes a mérés-értékelésben releváns teszt- és esszéfeladatokat készíteni.</w:t>
      </w:r>
    </w:p>
    <w:p>
      <w:pPr>
        <w:pStyle w:val="Normal"/>
        <w:jc w:val="both"/>
        <w:rPr>
          <w:bCs/>
        </w:rPr>
      </w:pPr>
      <w:r>
        <w:rPr>
          <w:bCs/>
        </w:rPr>
        <w:t>Problémaérzékenység, elfogadó attitűd jellemzi, valamint elkötelezett a tanulást támogató értékelés mellett.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hanging="699" w:left="70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Tblzatrcsos1vilgos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84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single" w:sz="12" w:space="0" w:color="666666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kern w:val="0"/>
                <w:sz w:val="24"/>
                <w:lang w:val="hu-HU" w:bidi="ar-SA"/>
              </w:rPr>
            </w:r>
          </w:p>
        </w:tc>
        <w:tc>
          <w:tcPr>
            <w:tcW w:w="8494" w:type="dxa"/>
            <w:tcBorders>
              <w:top w:val="nil"/>
              <w:left w:val="nil"/>
              <w:bottom w:val="single" w:sz="12" w:space="0" w:color="666666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Tájékozódás. A feladatok és az időrend megbeszélése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2.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 xml:space="preserve">Az értékelés célja, fajtái, eszközei 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3.</w:t>
            </w:r>
          </w:p>
        </w:tc>
        <w:tc>
          <w:tcPr>
            <w:tcW w:w="849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 xml:space="preserve">A középszintű érettségi és vizsgakövetelmények. Az érettségi </w:t>
            </w:r>
            <w:r>
              <w:rPr>
                <w:b/>
                <w:bCs/>
                <w:kern w:val="0"/>
                <w:sz w:val="24"/>
                <w:lang w:val="hu-HU" w:bidi="ar-SA"/>
              </w:rPr>
              <w:t>témakörök</w:t>
            </w:r>
            <w:r>
              <w:rPr>
                <w:kern w:val="0"/>
                <w:sz w:val="24"/>
                <w:lang w:val="hu-HU" w:bidi="ar-SA"/>
              </w:rPr>
              <w:t>. Érettségi feladatlapok javítása, pontozása és a javítókulcsok.</w:t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közép- és emelt szintű érettségi különbségei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4.</w:t>
            </w:r>
          </w:p>
        </w:tc>
        <w:tc>
          <w:tcPr>
            <w:tcW w:w="849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>
          <w:trHeight w:val="552" w:hRule="atLeast"/>
        </w:trPr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5.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 xml:space="preserve">Kompetenciák. </w:t>
            </w:r>
          </w:p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Az ismeretszerzés és a források használata</w:t>
            </w:r>
          </w:p>
        </w:tc>
      </w:tr>
      <w:tr>
        <w:trPr>
          <w:trHeight w:val="552" w:hRule="atLeast"/>
        </w:trPr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6.</w:t>
            </w:r>
          </w:p>
        </w:tc>
        <w:tc>
          <w:tcPr>
            <w:tcW w:w="8494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Kommunikáció, a történelmi szaknyelv alkalmazása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7</w:t>
            </w:r>
            <w:r>
              <w:rPr>
                <w:b/>
                <w:bCs/>
                <w:kern w:val="0"/>
                <w:sz w:val="24"/>
                <w:lang w:val="hu-HU" w:bidi="ar-SA"/>
              </w:rPr>
              <w:t>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false"/>
                <w:i w:val="false"/>
                <w:iCs w:val="false"/>
                <w:kern w:val="0"/>
                <w:sz w:val="24"/>
                <w:lang w:val="hu-HU" w:bidi="ar-SA"/>
              </w:rPr>
            </w:pPr>
            <w:r>
              <w:rPr>
                <w:bCs/>
                <w:i w:val="false"/>
                <w:iCs w:val="false"/>
                <w:kern w:val="0"/>
                <w:sz w:val="24"/>
                <w:lang w:val="hu-HU" w:bidi="ar-SA"/>
              </w:rPr>
              <w:t>Tájékozódás térben és időben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8</w:t>
            </w:r>
            <w:r>
              <w:rPr>
                <w:b/>
                <w:bCs/>
                <w:kern w:val="0"/>
                <w:sz w:val="24"/>
                <w:lang w:val="hu-HU" w:bidi="ar-SA"/>
              </w:rPr>
              <w:t>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false"/>
                <w:i w:val="false"/>
                <w:iCs w:val="false"/>
                <w:kern w:val="0"/>
                <w:sz w:val="24"/>
                <w:lang w:val="hu-HU" w:bidi="ar-SA"/>
              </w:rPr>
            </w:pPr>
            <w:r>
              <w:rPr>
                <w:bCs/>
                <w:i w:val="false"/>
                <w:iCs w:val="false"/>
                <w:kern w:val="0"/>
                <w:sz w:val="24"/>
                <w:lang w:val="hu-HU" w:bidi="ar-SA"/>
              </w:rPr>
              <w:t>Az eseményeket alakító tényezők feltárása, kritikai és problémaközpontú gondolkodás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9.</w:t>
            </w:r>
          </w:p>
        </w:tc>
        <w:tc>
          <w:tcPr>
            <w:tcW w:w="8494" w:type="dxa"/>
            <w:vMerge w:val="restart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bCs/>
                <w:i/>
                <w:iCs/>
                <w:kern w:val="0"/>
                <w:sz w:val="24"/>
                <w:lang w:val="hu-HU" w:bidi="ar-SA"/>
              </w:rPr>
              <w:t>Feladattervek bemutatása, hallgatói reflexiók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10.</w:t>
            </w:r>
          </w:p>
        </w:tc>
        <w:tc>
          <w:tcPr>
            <w:tcW w:w="8494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11.</w:t>
            </w:r>
          </w:p>
        </w:tc>
        <w:tc>
          <w:tcPr>
            <w:tcW w:w="8494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12.</w:t>
            </w:r>
          </w:p>
        </w:tc>
        <w:tc>
          <w:tcPr>
            <w:tcW w:w="8494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13.</w:t>
            </w:r>
          </w:p>
        </w:tc>
        <w:tc>
          <w:tcPr>
            <w:tcW w:w="8494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szóbeli érettségi vizsga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lang w:val="hu-HU" w:bidi="ar-SA"/>
              </w:rPr>
            </w:pPr>
            <w:r>
              <w:rPr>
                <w:b/>
                <w:bCs/>
                <w:kern w:val="0"/>
                <w:sz w:val="24"/>
                <w:lang w:val="hu-HU" w:bidi="ar-SA"/>
              </w:rPr>
              <w:t>14</w:t>
            </w:r>
            <w:r>
              <w:rPr>
                <w:b/>
                <w:bCs/>
                <w:kern w:val="0"/>
                <w:sz w:val="24"/>
                <w:lang w:val="hu-HU" w:bidi="ar-SA"/>
              </w:rPr>
              <w:t>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bCs/>
                <w:kern w:val="0"/>
                <w:sz w:val="24"/>
                <w:lang w:val="hu-HU" w:bidi="ar-SA"/>
              </w:rPr>
              <w:t>A kurzus zárása; tanulságok, eredmények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ind w:hanging="699" w:left="709"/>
        <w:rPr/>
      </w:pPr>
      <w:r>
        <w:rPr>
          <w:b/>
          <w:bCs/>
        </w:rPr>
        <w:t xml:space="preserve">A foglalkozásokon történő részvétel </w:t>
      </w:r>
      <w:r>
        <w:rPr/>
        <w:t>tekintetében a Tanulmányi és Vizsgaszabályzat (TVSz) az irányadó.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Félévi követelmény: gyakorlati jegy</w:t>
      </w:r>
    </w:p>
    <w:p>
      <w:pPr>
        <w:pStyle w:val="Normal"/>
        <w:spacing w:lineRule="auto" w:line="259" w:before="0" w:after="160"/>
        <w:rPr>
          <w:b/>
        </w:rPr>
      </w:pPr>
      <w:r>
        <w:rPr>
          <w:b/>
        </w:rPr>
        <w:t xml:space="preserve">A gyakorlati jegy megszerzésének feltétele: </w:t>
      </w:r>
      <w:r>
        <w:rPr>
          <w:bCs/>
        </w:rPr>
        <w:t xml:space="preserve">A középszintű érettségi témaköreihez illeszkedő gyakorlófeladatok összeállítása (min. 6 feladat) </w:t>
      </w:r>
      <w:r>
        <w:rPr>
          <w:iCs/>
        </w:rPr>
        <w:t>és csoport előtti bemutatása, megvitatása.</w:t>
      </w:r>
    </w:p>
    <w:p>
      <w:pPr>
        <w:pStyle w:val="Normal"/>
        <w:jc w:val="both"/>
        <w:rPr>
          <w:bCs/>
        </w:rPr>
      </w:pPr>
      <w:r>
        <w:rPr>
          <w:b/>
        </w:rPr>
        <w:t xml:space="preserve">A gyakorlati jegy megszerzésének feltétele: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Aktív órai részvétel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Határidőre elkészített feladatok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Az elkészített feladatok ötletessége, a kivitelezés alapossága</w:t>
      </w:r>
    </w:p>
    <w:p>
      <w:pPr>
        <w:pStyle w:val="Normal"/>
        <w:jc w:val="both"/>
        <w:rPr>
          <w:i/>
          <w:i/>
          <w:iCs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Irodalomjegyzék</w:t>
      </w:r>
    </w:p>
    <w:p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>B. Mátyus Gyöngyi- Bori István: Történelem érettségi témavázlatok, 4. átdolgozott kiadás a 2017-től érvényes érettségi követelmények szerint, I. Középszint, Amtak Bt., 2016, 274 oldal, ISBN 9786158047739</w:t>
      </w:r>
    </w:p>
    <w:p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 xml:space="preserve">Hatályos érettségi és vizsgakövetelmények az internetről: </w:t>
      </w:r>
      <w:hyperlink r:id="rId2">
        <w:r>
          <w:rPr>
            <w:rStyle w:val="Hyperlink"/>
            <w:iCs/>
          </w:rPr>
          <w:t>https://www.oktatas.hu/pub_bin/dload/kozoktatas/erettsegi/vizsgakovetelmenyek2024/tortenelem_2024_e.pdf</w:t>
        </w:r>
      </w:hyperlink>
      <w:r>
        <w:rPr>
          <w:iCs/>
        </w:rPr>
        <w:t xml:space="preserve"> </w:t>
      </w:r>
    </w:p>
    <w:p>
      <w:pPr>
        <w:pStyle w:val="ListParagraph"/>
        <w:numPr>
          <w:ilvl w:val="0"/>
          <w:numId w:val="2"/>
        </w:numPr>
        <w:rPr>
          <w:iCs/>
        </w:rPr>
      </w:pPr>
      <w:r>
        <w:rPr>
          <w:iCs/>
        </w:rPr>
        <w:t>Kovács István – Kovács Istvánné – Óbis Hajnalka: A változó történelemoktatás. Debreceni Egyetemi Kiadó, 2015, 188 oldal, ISBN 9789634738626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Dr. Buhály Attila</w:t>
      </w:r>
    </w:p>
    <w:p>
      <w:pPr>
        <w:pStyle w:val="Normal"/>
        <w:rPr/>
      </w:pPr>
      <w:r>
        <w:rPr/>
        <w:t xml:space="preserve">Nyíregyháza, </w:t>
      </w:r>
      <w:r>
        <w:rPr/>
        <w:t>2025. január 30.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swiss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cstheme="minorHAnsi" w:eastAsiaTheme="minorHAnsi"/>
        <w:sz w:val="24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f97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hu-HU" w:val="hu-HU" w:bidi="ar-SA"/>
    </w:rPr>
  </w:style>
  <w:style w:type="paragraph" w:styleId="Heading1">
    <w:name w:val="heading 1"/>
    <w:basedOn w:val="Normal"/>
    <w:next w:val="Normal"/>
    <w:link w:val="Cmsor1Char"/>
    <w:uiPriority w:val="9"/>
    <w:qFormat/>
    <w:rsid w:val="00561434"/>
    <w:pPr>
      <w:keepNext w:val="true"/>
      <w:keepLines/>
      <w:spacing w:before="240" w:after="0"/>
      <w:outlineLvl w:val="0"/>
    </w:pPr>
    <w:rPr>
      <w:rFonts w:ascii="Calibri Light" w:hAnsi="Calibri Light" w:eastAsia="ＭＳ ゴシック" w:cs="Times New Roman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9f1124"/>
    <w:rPr>
      <w:sz w:val="16"/>
      <w:szCs w:val="16"/>
    </w:rPr>
  </w:style>
  <w:style w:type="character" w:styleId="JegyzetszvegChar" w:customStyle="1">
    <w:name w:val="Jegyzetszöveg Char"/>
    <w:basedOn w:val="DefaultParagraphFont"/>
    <w:uiPriority w:val="99"/>
    <w:semiHidden/>
    <w:qFormat/>
    <w:rsid w:val="009f1124"/>
    <w:rPr>
      <w:rFonts w:eastAsia="Times New Roman" w:cs="Times New Roman"/>
      <w:sz w:val="20"/>
      <w:szCs w:val="20"/>
      <w:lang w:eastAsia="hu-HU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9f1124"/>
    <w:rPr>
      <w:rFonts w:eastAsia="Times New Roman" w:cs="Times New Roman"/>
      <w:b/>
      <w:bCs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9f1124"/>
    <w:rPr>
      <w:rFonts w:ascii="Segoe UI" w:hAnsi="Segoe UI" w:eastAsia="Times New Roman" w:cs="Segoe UI"/>
      <w:sz w:val="18"/>
      <w:szCs w:val="18"/>
      <w:lang w:eastAsia="hu-HU"/>
    </w:rPr>
  </w:style>
  <w:style w:type="character" w:styleId="Cmsor1Char" w:customStyle="1">
    <w:name w:val="Címsor 1 Char"/>
    <w:basedOn w:val="DefaultParagraphFont"/>
    <w:uiPriority w:val="9"/>
    <w:qFormat/>
    <w:rsid w:val="00561434"/>
    <w:rPr>
      <w:rFonts w:ascii="Calibri Light" w:hAnsi="Calibri Light" w:eastAsia="ＭＳ ゴシック" w:cs="Times New Roman" w:asciiTheme="majorHAnsi" w:cstheme="majorBidi" w:eastAsiaTheme="majorEastAsia" w:hAnsiTheme="majorHAnsi"/>
      <w:color w:themeColor="accent1" w:themeShade="bf" w:val="2E74B5"/>
      <w:sz w:val="32"/>
      <w:szCs w:val="32"/>
      <w:lang w:eastAsia="hu-HU"/>
    </w:rPr>
  </w:style>
  <w:style w:type="character" w:styleId="AlcmChar" w:customStyle="1">
    <w:name w:val="Alcím Char"/>
    <w:basedOn w:val="DefaultParagraphFont"/>
    <w:uiPriority w:val="11"/>
    <w:qFormat/>
    <w:rsid w:val="00b3506b"/>
    <w:rPr>
      <w:rFonts w:ascii="Calibri" w:hAnsi="Calibri" w:eastAsia="ＭＳ 明朝" w:cs="Arial" w:asciiTheme="minorHAnsi" w:cstheme="minorBidi" w:eastAsiaTheme="minorEastAsia" w:hAnsiTheme="minorHAnsi"/>
      <w:color w:themeColor="text1" w:themeTint="a5" w:val="5A5A5A"/>
      <w:spacing w:val="15"/>
      <w:sz w:val="22"/>
      <w:lang w:eastAsia="hu-HU"/>
    </w:rPr>
  </w:style>
  <w:style w:type="character" w:styleId="Hyperlink">
    <w:name w:val="Hyperlink"/>
    <w:basedOn w:val="DefaultParagraphFont"/>
    <w:uiPriority w:val="99"/>
    <w:unhideWhenUsed/>
    <w:rsid w:val="00aa73a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555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a47242"/>
    <w:rPr>
      <w:color w:themeColor="followedHyperlink" w:val="954F72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2c2f9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JegyzetszvegChar"/>
    <w:uiPriority w:val="99"/>
    <w:semiHidden/>
    <w:unhideWhenUsed/>
    <w:rsid w:val="009f1124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MegjegyzstrgyaChar"/>
    <w:uiPriority w:val="99"/>
    <w:semiHidden/>
    <w:unhideWhenUsed/>
    <w:qFormat/>
    <w:rsid w:val="009f1124"/>
    <w:pPr/>
    <w:rPr>
      <w:b/>
      <w:bCs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9f1124"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AlcmChar"/>
    <w:uiPriority w:val="11"/>
    <w:qFormat/>
    <w:rsid w:val="00b3506b"/>
    <w:pPr>
      <w:spacing w:before="0" w:after="160"/>
    </w:pPr>
    <w:rPr>
      <w:rFonts w:ascii="Calibri" w:hAnsi="Calibri" w:eastAsia="ＭＳ 明朝" w:cs="Arial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9e546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ktatas.hu/pub_bin/dload/kozoktatas/erettsegi/vizsgakovetelmenyek2024/tortenelem_2024_e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LibreOffice/24.8.4.2$Linux_X86_64 LibreOffice_project/480$Build-2</Application>
  <AppVersion>15.0000</AppVersion>
  <Pages>2</Pages>
  <Words>310</Words>
  <Characters>2395</Characters>
  <CharactersWithSpaces>2660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2024-02-05T15:33:00Z</dcterms:created>
  <dc:creator>acsi</dc:creator>
  <dc:description/>
  <dc:language>hu-HU</dc:language>
  <cp:lastModifiedBy>Buhály Attila</cp:lastModifiedBy>
  <dcterms:modified xsi:type="dcterms:W3CDTF">2025-01-30T11:22:27Z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